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2B44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Neorganska hemija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2B44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 xml:space="preserve">NH </w:t>
            </w:r>
            <w:bookmarkStart w:id="0" w:name="_GoBack"/>
            <w:bookmarkEnd w:id="0"/>
            <w:r w:rsidR="009A34E2">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0A3677">
                    <w:rPr>
                      <w:rFonts w:asciiTheme="majorHAnsi" w:hAnsiTheme="majorHAnsi" w:cs="Arial"/>
                      <w:b/>
                      <w:sz w:val="18"/>
                      <w:szCs w:val="18"/>
                    </w:rPr>
                  </w:r>
                  <w:r w:rsidR="000A3677">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67,5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134,14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A34E2">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9A34E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201,64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sidRPr="009A34E2">
              <w:rPr>
                <w:rFonts w:asciiTheme="majorHAnsi" w:hAnsiTheme="majorHAnsi" w:cs="Arial"/>
                <w:b/>
                <w:sz w:val="18"/>
                <w:szCs w:val="18"/>
              </w:rPr>
              <w:t>Prirodno-matematički</w:t>
            </w:r>
            <w:r w:rsidR="009A34E2">
              <w:rPr>
                <w:rFonts w:asciiTheme="majorHAnsi" w:hAnsiTheme="majorHAnsi" w:cs="Arial"/>
                <w:b/>
                <w:sz w:val="18"/>
                <w:szCs w:val="18"/>
              </w:rPr>
              <w:t xml:space="preserve">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Pr>
                <w:rFonts w:asciiTheme="majorHAnsi" w:hAnsiTheme="majorHAnsi" w:cs="Arial"/>
                <w:b/>
                <w:sz w:val="18"/>
                <w:szCs w:val="18"/>
              </w:rPr>
              <w:t>Hemija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Pr>
                <w:rFonts w:asciiTheme="majorHAnsi" w:hAnsiTheme="majorHAnsi" w:cs="Arial"/>
                <w:b/>
                <w:sz w:val="18"/>
                <w:szCs w:val="18"/>
              </w:rPr>
              <w:t>D</w:t>
            </w:r>
            <w:r w:rsidR="009A34E2" w:rsidRPr="009A34E2">
              <w:rPr>
                <w:rFonts w:asciiTheme="majorHAnsi" w:hAnsiTheme="majorHAnsi" w:cs="Arial"/>
                <w:b/>
                <w:sz w:val="18"/>
                <w:szCs w:val="18"/>
              </w:rPr>
              <w:t>r sci. Amira Cipurković, red</w:t>
            </w:r>
            <w:r w:rsidR="009A34E2">
              <w:rPr>
                <w:rFonts w:asciiTheme="majorHAnsi" w:hAnsiTheme="majorHAnsi" w:cs="Arial"/>
                <w:b/>
                <w:sz w:val="18"/>
                <w:szCs w:val="18"/>
              </w:rPr>
              <w:t>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sidRPr="009A34E2">
              <w:rPr>
                <w:rFonts w:asciiTheme="majorHAnsi" w:hAnsiTheme="majorHAnsi" w:cs="Arial"/>
                <w:b/>
                <w:sz w:val="18"/>
                <w:szCs w:val="18"/>
              </w:rPr>
              <w:t xml:space="preserve"> • prenijeti studentima bazična saznanja i stečena iskustva u cilju boljeg razumijevanja pojedinih oblasti iz neorganske hemije</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lastRenderedPageBreak/>
              <w:t>• poboljšati njihove komunikacijske vještine u pisanom i verbalnom obliku, kao i  vještine vezane za individualni, odnosno timski/grupni eksperimentalni rad, te za kontinuirani rad tokom semestra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sidRPr="009A34E2">
              <w:rPr>
                <w:rFonts w:asciiTheme="majorHAnsi" w:hAnsiTheme="majorHAnsi" w:cs="Arial"/>
                <w:b/>
                <w:sz w:val="18"/>
                <w:szCs w:val="18"/>
              </w:rPr>
              <w:t>Uspješni studenti će biti osposobljeni da:</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koriste dostupnu raspoloživu literaturu, sintetiziraju određene hemijske spojeve, binarne i kompleksne, da ih izdvoje, ispitaju i analiziraju, izračunaju količine reaktanata i prinos produkta, sklope aparaturu potrebnu za eksperimentalni rad, nacrtaju dijagrame, provjere tačnost rezultata i objasne dobivene rezultate, da individualno i u timu procijene i provjere načine rješavanja zadataka različite složenosti, i iste prezentiraju u pisanom ili verbalnom obliku.</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Opće osobine elemenata d i f--bloka (veličine radijusa atoma i iona, energije ionizacije, standardni redoks potencijali , stabilnost oksidacionih stanja, sposobnost gradjenja kompleksnih spojeva, teorije o nastajanju kompleksa, geometrijski oblici i struktura kompleksnih spojeva, sinteza i karakterizacija kompleksnih spojeva i td.). Pojedinačno izučavanje elemenata 3-12. grupe PSE. Metode dobivanja pojedinih elemenata i njihovih spojeva, primjena i osobine.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 Predavanja uz upotrebu multimedijalnih sredstava, tehnika aktivnog učenja i uz aktivno učešće i diskusije studenata;</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laboratorijske vježbe i kolokviji</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xml:space="preserve">Prisustvo studenata na predavanju (P) i lab. vježbama je obavezno.  Studentima će tokom semestra nastavnik/asistent dodjeljivati određene zadatke i obaveze, koje oni treba da izvršavaju i budu spremni za naredni čas, kao i da predaju izvještaj o urađenim vježbama.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Za provjeru usvojenog znanja na predmetu se koriste pismene i/ili usmene metode.</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U sklopu predispitnih obaveza studenti su dužni odraditi predviđene eksperimentalne vježbe i položiti dva kolokvija. Za kontinuiranu aktivnost na vježbama u toku cijelog semestra student može ostvariti od 0 do 10 bodova.</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xml:space="preserve">• Pismene metode: Nakon polovine semestra studenti pismeno polažu test (prvi međuispit) koji obuhvata do tada obrađenu tematiku sa predavanja i vježbi. Test se sastoji od  zadataka višestrukog izbora, zadataka jednostavnog dosjećanja ili esejskih zadataka. Svaki tačan odgovor boduje se sa odgovarajućim brojem bodova, odnosno, student na prvom međuispitu može ostvariti maksimalno 20 bodova. Nakon završetka semestra studenti pismeno polažu test (drugi međuispit) koji obuhvata obrađenu tematiku sa predavanja i vježbi iz drugog dijela semestra. Test se sastoji od  zadataka višestrukog izbora, zadataka jednostavnog dosjećanja ili esejskih zadataka. Svaki tačan odgovor boduje se sa određenim brojem bodova, odnosno, student na drugom međuispitu može ostvariti maksimalno 20 bodova. Oba testa polažu svi studenti na predmetu istovremeno čime je postignuta ujednačenost nivoa znanja koje se testira, kao i uslovi pod kojima student polaže ispit.  Termini održavanja testova će biti saopšteni studentima najmanje 15 dana ranije. </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Završni ispit je pismeni/usmeni. Pravo izlaska na završni ispit imaju studenti koji su na testovima ostvarili najmanje 50 % od maksimalnog broja bodova, tj. 10 bodova na svakom testu. Na usmenom ispitu student odgovara na pitanja iz programa nastavnog predmeta obrađenog na predavanjima i vježbama. Usmeni ispit se može položiti ukoliko student odgovori na sva pitanja. Maksimalan broj bodova koji student može ostvariti na usmenom ispitu je 50.</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Provjere na svim oblicima znanja priznaju se kao kumulativni ispit ukoliko je postignuti rezultat pozitivan nakon svake pojedinačne provjere i iznosi najmanje 50% ukupno predviđenog i/ili traženog znanja i vještina.</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 Da bi student položio predmet mora ostvariti minimalno 55 kumulativnih bodova od čega minimalno 25 bodova na završnom ispitu.</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BrojčanaSlovna</w:t>
            </w:r>
            <w:r w:rsidR="009A34E2" w:rsidRPr="009A34E2">
              <w:rPr>
                <w:rFonts w:asciiTheme="majorHAnsi" w:hAnsiTheme="majorHAnsi" w:cs="Arial"/>
                <w:b/>
                <w:sz w:val="18"/>
                <w:szCs w:val="18"/>
              </w:rPr>
              <w:tab/>
            </w:r>
            <w:r w:rsidR="009A34E2">
              <w:rPr>
                <w:rFonts w:asciiTheme="majorHAnsi" w:hAnsiTheme="majorHAnsi" w:cs="Arial"/>
                <w:b/>
                <w:sz w:val="18"/>
                <w:szCs w:val="18"/>
              </w:rPr>
              <w:t xml:space="preserve">                                   </w:t>
            </w:r>
            <w:r w:rsidR="009A34E2" w:rsidRPr="009A34E2">
              <w:rPr>
                <w:rFonts w:asciiTheme="majorHAnsi" w:hAnsiTheme="majorHAnsi" w:cs="Arial"/>
                <w:b/>
                <w:sz w:val="18"/>
                <w:szCs w:val="18"/>
              </w:rPr>
              <w:t>Opisna</w:t>
            </w:r>
            <w:r w:rsidR="009A34E2" w:rsidRPr="009A34E2">
              <w:rPr>
                <w:rFonts w:asciiTheme="majorHAnsi" w:hAnsiTheme="majorHAnsi" w:cs="Arial"/>
                <w:b/>
                <w:sz w:val="18"/>
                <w:szCs w:val="18"/>
              </w:rPr>
              <w:tab/>
            </w:r>
            <w:r w:rsidR="009A34E2">
              <w:rPr>
                <w:rFonts w:asciiTheme="majorHAnsi" w:hAnsiTheme="majorHAnsi" w:cs="Arial"/>
                <w:b/>
                <w:sz w:val="18"/>
                <w:szCs w:val="18"/>
              </w:rPr>
              <w:t xml:space="preserve">                                                                       </w:t>
            </w:r>
            <w:r w:rsidR="009A34E2" w:rsidRPr="009A34E2">
              <w:rPr>
                <w:rFonts w:asciiTheme="majorHAnsi" w:hAnsiTheme="majorHAnsi" w:cs="Arial"/>
                <w:b/>
                <w:sz w:val="18"/>
                <w:szCs w:val="18"/>
              </w:rPr>
              <w:t>Bodovi</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10</w:t>
            </w:r>
            <w:r w:rsidRPr="009A34E2">
              <w:rPr>
                <w:rFonts w:asciiTheme="majorHAnsi" w:hAnsiTheme="majorHAnsi" w:cs="Arial"/>
                <w:b/>
                <w:sz w:val="18"/>
                <w:szCs w:val="18"/>
              </w:rPr>
              <w:tab/>
              <w:t>A</w:t>
            </w:r>
            <w:r w:rsidRPr="009A34E2">
              <w:rPr>
                <w:rFonts w:asciiTheme="majorHAnsi" w:hAnsiTheme="majorHAnsi" w:cs="Arial"/>
                <w:b/>
                <w:sz w:val="18"/>
                <w:szCs w:val="18"/>
              </w:rPr>
              <w:tab/>
              <w:t>Izuzetan uspjeh bez grešaka ili s neznatnim greškama</w:t>
            </w:r>
            <w:r w:rsidRPr="009A34E2">
              <w:rPr>
                <w:rFonts w:asciiTheme="majorHAnsi" w:hAnsiTheme="majorHAnsi" w:cs="Arial"/>
                <w:b/>
                <w:sz w:val="18"/>
                <w:szCs w:val="18"/>
              </w:rPr>
              <w:tab/>
              <w:t>95-100</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9</w:t>
            </w:r>
            <w:r w:rsidRPr="009A34E2">
              <w:rPr>
                <w:rFonts w:asciiTheme="majorHAnsi" w:hAnsiTheme="majorHAnsi" w:cs="Arial"/>
                <w:b/>
                <w:sz w:val="18"/>
                <w:szCs w:val="18"/>
              </w:rPr>
              <w:tab/>
              <w:t>B</w:t>
            </w:r>
            <w:r w:rsidRPr="009A34E2">
              <w:rPr>
                <w:rFonts w:asciiTheme="majorHAnsi" w:hAnsiTheme="majorHAnsi" w:cs="Arial"/>
                <w:b/>
                <w:sz w:val="18"/>
                <w:szCs w:val="18"/>
              </w:rPr>
              <w:tab/>
              <w:t>Iznad prosjeka, s ponekom greškom</w:t>
            </w:r>
            <w:r w:rsidRPr="009A34E2">
              <w:rPr>
                <w:rFonts w:asciiTheme="majorHAnsi" w:hAnsiTheme="majorHAnsi" w:cs="Arial"/>
                <w:b/>
                <w:sz w:val="18"/>
                <w:szCs w:val="18"/>
              </w:rPr>
              <w:tab/>
              <w:t xml:space="preserve">                                    85-94</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8</w:t>
            </w:r>
            <w:r w:rsidRPr="009A34E2">
              <w:rPr>
                <w:rFonts w:asciiTheme="majorHAnsi" w:hAnsiTheme="majorHAnsi" w:cs="Arial"/>
                <w:b/>
                <w:sz w:val="18"/>
                <w:szCs w:val="18"/>
              </w:rPr>
              <w:tab/>
              <w:t>C</w:t>
            </w:r>
            <w:r w:rsidRPr="009A34E2">
              <w:rPr>
                <w:rFonts w:asciiTheme="majorHAnsi" w:hAnsiTheme="majorHAnsi" w:cs="Arial"/>
                <w:b/>
                <w:sz w:val="18"/>
                <w:szCs w:val="18"/>
              </w:rPr>
              <w:tab/>
              <w:t xml:space="preserve">Prosječan, s primjetnim greškama                                     </w:t>
            </w:r>
            <w:r w:rsidRPr="009A34E2">
              <w:rPr>
                <w:rFonts w:asciiTheme="majorHAnsi" w:hAnsiTheme="majorHAnsi" w:cs="Arial"/>
                <w:b/>
                <w:sz w:val="18"/>
                <w:szCs w:val="18"/>
              </w:rPr>
              <w:tab/>
              <w:t>75-84</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7</w:t>
            </w:r>
            <w:r w:rsidRPr="009A34E2">
              <w:rPr>
                <w:rFonts w:asciiTheme="majorHAnsi" w:hAnsiTheme="majorHAnsi" w:cs="Arial"/>
                <w:b/>
                <w:sz w:val="18"/>
                <w:szCs w:val="18"/>
              </w:rPr>
              <w:tab/>
              <w:t>D</w:t>
            </w:r>
            <w:r w:rsidRPr="009A34E2">
              <w:rPr>
                <w:rFonts w:asciiTheme="majorHAnsi" w:hAnsiTheme="majorHAnsi" w:cs="Arial"/>
                <w:b/>
                <w:sz w:val="18"/>
                <w:szCs w:val="18"/>
              </w:rPr>
              <w:tab/>
              <w:t>Općenito dobar, ali sa značajnim nedostacima</w:t>
            </w:r>
            <w:r w:rsidRPr="009A34E2">
              <w:rPr>
                <w:rFonts w:asciiTheme="majorHAnsi" w:hAnsiTheme="majorHAnsi" w:cs="Arial"/>
                <w:b/>
                <w:sz w:val="18"/>
                <w:szCs w:val="18"/>
              </w:rPr>
              <w:tab/>
              <w:t xml:space="preserve">                  65-74</w:t>
            </w:r>
          </w:p>
          <w:p w:rsidR="009A34E2" w:rsidRPr="009A34E2"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6</w:t>
            </w:r>
            <w:r w:rsidRPr="009A34E2">
              <w:rPr>
                <w:rFonts w:asciiTheme="majorHAnsi" w:hAnsiTheme="majorHAnsi" w:cs="Arial"/>
                <w:b/>
                <w:sz w:val="18"/>
                <w:szCs w:val="18"/>
              </w:rPr>
              <w:tab/>
              <w:t>E</w:t>
            </w:r>
            <w:r w:rsidRPr="009A34E2">
              <w:rPr>
                <w:rFonts w:asciiTheme="majorHAnsi" w:hAnsiTheme="majorHAnsi" w:cs="Arial"/>
                <w:b/>
                <w:sz w:val="18"/>
                <w:szCs w:val="18"/>
              </w:rPr>
              <w:tab/>
              <w:t>Zadovoljava minimalne kriterije</w:t>
            </w:r>
            <w:r w:rsidRPr="009A34E2">
              <w:rPr>
                <w:rFonts w:asciiTheme="majorHAnsi" w:hAnsiTheme="majorHAnsi" w:cs="Arial"/>
                <w:b/>
                <w:sz w:val="18"/>
                <w:szCs w:val="18"/>
              </w:rPr>
              <w:tab/>
              <w:t xml:space="preserve">                                                     55-64</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5</w:t>
            </w:r>
            <w:r w:rsidRPr="009A34E2">
              <w:rPr>
                <w:rFonts w:asciiTheme="majorHAnsi" w:hAnsiTheme="majorHAnsi" w:cs="Arial"/>
                <w:b/>
                <w:sz w:val="18"/>
                <w:szCs w:val="18"/>
              </w:rPr>
              <w:tab/>
              <w:t>F,FX</w:t>
            </w:r>
            <w:r w:rsidRPr="009A34E2">
              <w:rPr>
                <w:rFonts w:asciiTheme="majorHAnsi" w:hAnsiTheme="majorHAnsi" w:cs="Arial"/>
                <w:b/>
                <w:sz w:val="18"/>
                <w:szCs w:val="18"/>
              </w:rPr>
              <w:tab/>
              <w:t>Ne zadovoljava minimalne kriterije</w:t>
            </w:r>
            <w:r w:rsidRPr="009A34E2">
              <w:rPr>
                <w:rFonts w:asciiTheme="majorHAnsi" w:hAnsiTheme="majorHAnsi" w:cs="Arial"/>
                <w:b/>
                <w:sz w:val="18"/>
                <w:szCs w:val="18"/>
              </w:rPr>
              <w:tab/>
              <w:t xml:space="preserve">                                     &lt;55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A34E2" w:rsidRPr="009A34E2" w:rsidRDefault="00D05D23" w:rsidP="009A3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34E2" w:rsidRPr="009A34E2">
              <w:rPr>
                <w:rFonts w:asciiTheme="majorHAnsi" w:hAnsiTheme="majorHAnsi" w:cs="Arial"/>
                <w:b/>
                <w:sz w:val="18"/>
                <w:szCs w:val="18"/>
              </w:rPr>
              <w:t>1. Filipović, I., Lipanović, S. (1995.): Opća i anorganska kemija, I i II dio, Zagreb, Školska knjiga.</w:t>
            </w:r>
          </w:p>
          <w:p w:rsidR="00CB72ED" w:rsidRPr="00B96B4F" w:rsidRDefault="009A34E2" w:rsidP="009A34E2">
            <w:pPr>
              <w:pStyle w:val="NoSpacing"/>
              <w:rPr>
                <w:rFonts w:asciiTheme="majorHAnsi" w:hAnsiTheme="majorHAnsi" w:cs="Arial"/>
                <w:b/>
                <w:sz w:val="18"/>
                <w:szCs w:val="18"/>
              </w:rPr>
            </w:pPr>
            <w:r w:rsidRPr="009A34E2">
              <w:rPr>
                <w:rFonts w:asciiTheme="majorHAnsi" w:hAnsiTheme="majorHAnsi" w:cs="Arial"/>
                <w:b/>
                <w:sz w:val="18"/>
                <w:szCs w:val="18"/>
              </w:rPr>
              <w:t>2. Cipurković, A., Hodžić, Z., Tanjić, I. (2010.): Preparativna neorganska hemija, Tuzla, Bosanska riječ.</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A34E2" w:rsidRPr="009A34E2">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753836">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753836">
              <w:rPr>
                <w:rFonts w:asciiTheme="majorHAnsi" w:hAnsiTheme="majorHAnsi" w:cs="Arial"/>
                <w:b/>
                <w:sz w:val="18"/>
                <w:szCs w:val="18"/>
              </w:rPr>
            </w:r>
            <w:r w:rsidRPr="00753836">
              <w:rPr>
                <w:rFonts w:asciiTheme="majorHAnsi" w:hAnsiTheme="majorHAnsi" w:cs="Arial"/>
                <w:b/>
                <w:sz w:val="18"/>
                <w:szCs w:val="18"/>
              </w:rPr>
              <w:fldChar w:fldCharType="separate"/>
            </w:r>
            <w:r w:rsidR="00FB48B6" w:rsidRPr="00753836">
              <w:rPr>
                <w:rFonts w:asciiTheme="majorHAnsi" w:hAnsiTheme="majorHAnsi" w:cs="Arial"/>
                <w:b/>
                <w:spacing w:val="215"/>
                <w:sz w:val="18"/>
                <w:szCs w:val="18"/>
              </w:rPr>
              <w:t>    </w:t>
            </w:r>
            <w:r w:rsidR="00FB48B6" w:rsidRPr="00753836">
              <w:rPr>
                <w:rFonts w:asciiTheme="majorHAnsi" w:hAnsiTheme="majorHAnsi" w:cs="Arial"/>
                <w:b/>
                <w:spacing w:val="3"/>
                <w:sz w:val="18"/>
                <w:szCs w:val="18"/>
              </w:rPr>
              <w:t> </w:t>
            </w:r>
            <w:r w:rsidRPr="00753836">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677" w:rsidRDefault="000A3677">
      <w:pPr>
        <w:spacing w:line="240" w:lineRule="auto"/>
      </w:pPr>
      <w:r>
        <w:separator/>
      </w:r>
    </w:p>
  </w:endnote>
  <w:endnote w:type="continuationSeparator" w:id="0">
    <w:p w:rsidR="000A3677" w:rsidRDefault="000A3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B440C">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2B440C">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2B440C">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677" w:rsidRDefault="000A3677">
      <w:pPr>
        <w:spacing w:after="0"/>
      </w:pPr>
      <w:r>
        <w:separator/>
      </w:r>
    </w:p>
  </w:footnote>
  <w:footnote w:type="continuationSeparator" w:id="0">
    <w:p w:rsidR="000A3677" w:rsidRDefault="000A3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1519C"/>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A3677"/>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440C"/>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3836"/>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34E2"/>
    <w:rsid w:val="009A44AC"/>
    <w:rsid w:val="009A4B1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1CCA"/>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046B"/>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8AF5C4-AB78-4421-B917-A3C1D4D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B4DA6-2D0C-475D-AB71-507FBEA77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5</cp:revision>
  <cp:lastPrinted>2026-04-29T08:33:00Z</cp:lastPrinted>
  <dcterms:created xsi:type="dcterms:W3CDTF">2026-04-28T10:47:00Z</dcterms:created>
  <dcterms:modified xsi:type="dcterms:W3CDTF">2026-04-29T08:35:00Z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